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Ankeny Christian Academy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Middle School Supply List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2026-2027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General List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Subject Specific List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Pencil bag filled with the following: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20-25 pencils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5-10 pens (include red pens)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4 highlighters of different colors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Erasers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Give to homeroom teacher: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Bulk size bag of individually wrapped candy such as Smarties, Jolly Ranchers, Suckers, Starbursts, Tootsie Rolls, bite-size candy bars, mints, Hi-Chews, etc.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Clorox wipes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3-4 boxes of tissues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 large bottle of hand sanitizer (or 2 small bottles)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 package of Expo markers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 package of 3x5 notecards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For personal use: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Loose-leaf notebook paper for each class (6 total packages)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White-soled tennis shoes for PE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Earbuds (labeled and kept in chromebook case)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Blue 1.5” 3-ring binder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Tab Dividers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Personal Journal (</w:t>
            </w:r>
            <w:r w:rsidDel="00000000" w:rsidR="00000000" w:rsidRPr="00000000">
              <w:rPr>
                <w:u w:val="single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  <w:t xml:space="preserve"> a composition notebook)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Red pens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Green 1.5” 3-ring binder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Green Spiral Notebook with folders/pockets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Box of colored pencils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5 glue sticks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Bible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Spiral notebook with folders/pockets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ESV Bible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Yellow 1.5” 3-ring binder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Black 2” 3-ring binder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Tab dividers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Calculator (scientific, non-graphing)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Literature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Purple 2” 3-ring binder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 package of 3x5 notecards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Large pencil pouch to hold novels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Composition notebook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Regular Sharpie marker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Foreign Language 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White 1/2” 3-ring binder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Band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Supplies for your individual instrument (reeds, valve oil, etc.)</w:t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319C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ZUOopUqbTtIaDJyw09AOZpezg==">CgMxLjA4AHIhMW1qWXR0eVI1Y19nQTFpV0FSU0hTU0V3d3dhMHV2VEFX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2025-03-08T21:14:00Z</dcterms:created>
  <dc:creator>Marcia Lozada</dc:creator>
</cp:coreProperties>
</file>